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80"/>
      </w:pPr>
      <w:r>
        <w:rPr>
          <w:rFonts w:ascii="Arial" w:hAnsi="Arial" w:cs="Arial"/>
          <w:b/>
          <w:sz w:val="36"/>
          <w:szCs w:val="36"/>
        </w:rPr>
        <w:t xml:space="preserve">Регламент работы пункта выдачи заказов</w:t>
      </w:r>
    </w:p>
    <w:p>
      <w:pPr>
        <w:spacing w:before="0" w:after="200"/>
      </w:pPr>
      <w:r>
        <w:rPr>
          <w:rFonts w:ascii="Arial" w:hAnsi="Arial" w:cs="Arial"/>
          <w:color w:val="64748B"/>
          <w:sz w:val="18"/>
          <w:szCs w:val="18"/>
        </w:rPr>
        <w:t xml:space="preserve">Шаблон Latax · latax.ru — планировка складов и производств онлайн</w:t>
      </w:r>
    </w:p>
    <w:p>
      <w:pPr>
        <w:spacing w:before="0" w:after="120"/>
      </w:pPr>
      <w:r>
        <w:rPr>
          <w:rFonts w:ascii="Arial" w:hAnsi="Arial" w:cs="Arial"/>
          <w:sz w:val="21"/>
          <w:szCs w:val="21"/>
        </w:rPr>
        <w:t xml:space="preserve">Заполните под свой пункт и правила маркетплейса — оферта и требования маркетплейса имеют приоритет. Регламент помогает новым и подменным сотрудникам работать одинаково и снижает штрафы.</w:t>
      </w:r>
    </w:p>
    <w:p>
      <w:pPr>
        <w:spacing w:before="0" w:after="120"/>
      </w:pPr>
      <w:r>
        <w:rPr>
          <w:rFonts w:ascii="Arial" w:hAnsi="Arial" w:cs="Arial"/>
          <w:sz w:val="20"/>
          <w:szCs w:val="20"/>
        </w:rPr>
        <w:t xml:space="preserve">Объект: ____________________________    Дата: ____________    Составил: ____________________</w:t>
      </w:r>
    </w:p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1. Общие правила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Маркетплейсы и программы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Какие маркетплейсы обслуживает пункт; ссылки на оферты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График работы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Часы и дни; кто открывает и закрывает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Сотрудники и подмена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Кто работает, кто подменяет, как передаётся смена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Внешний вид и брендбук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Форма, порядок в клиентской зоне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2. Приёмка поставок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Время приезда машин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Окна приёмки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Порядок приёмки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Сканирование мест, проверка целостности, фото повреждений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Расхождения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Как оформлять в программе маркетплейса и кому сообщать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Размещение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Адреса ячеек (ряд-стеллаж-полка), правило «сканировать ячейку, потом заказ»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3. Выдача и примерка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Проверка покупателя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Код получения, документ — по правилам маркетплейса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Примерка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Сколько вещей, сколько времени, проверка после примерки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Отказ и частичный выкуп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Как оформляется в программе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Спорные ситуации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Брак, некомплект, подмена — порядок действий и фото на камеру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4. Возвраты и невостребованные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Возвраты покупателей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Приём, проверка, упаковка, отправка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Невостребованные заказы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Сроки хранения по правилам маркетплейса, отправка обратно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Отгрузка возвратов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Окна, сканирование мест</w:t>
            </w:r>
          </w:p>
        </w:tc>
      </w:tr>
    </w:tbl>
    <w:p>
      <w:pPr>
        <w:spacing w:before="240" w:after="80"/>
      </w:pPr>
      <w:r>
        <w:rPr>
          <w:rFonts w:ascii="Arial" w:hAnsi="Arial" w:cs="Arial"/>
          <w:b/>
          <w:color w:val="1D4ED8"/>
          <w:sz w:val="26"/>
          <w:szCs w:val="26"/>
        </w:rPr>
        <w:t xml:space="preserve">5. Контроль</w:t>
      </w:r>
    </w:p>
    <w:tbl>
      <w:tblPr>
        <w:tblW w:w="9638" w:type="dxa"/>
        <w:tblBorders>
          <w:top w:val="single" w:sz="4" w:space="0" w:color="BFC7D5"/>
          <w:left w:val="single" w:sz="4" w:space="0" w:color="BFC7D5"/>
          <w:bottom w:val="single" w:sz="4" w:space="0" w:color="BFC7D5"/>
          <w:right w:val="single" w:sz="4" w:space="0" w:color="BFC7D5"/>
          <w:insideH w:val="single" w:sz="4" w:space="0" w:color="BFC7D5"/>
          <w:insideV w:val="single" w:sz="4" w:space="0" w:color="BFC7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400"/>
        <w:gridCol w:w="3238"/>
      </w:tblGrid>
      <w:tr>
        <w:tc>
          <w:tcPr>
            <w:tcW w:w="30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Параметр</w:t>
            </w:r>
          </w:p>
        </w:tc>
        <w:tc>
          <w:tcPr>
            <w:tcW w:w="3400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Значение</w:t>
            </w:r>
          </w:p>
        </w:tc>
        <w:tc>
          <w:tcPr>
            <w:tcW w:w="3238" w:type="dxa"/>
            <w:shd w:val="clear" w:color="auto" w:fill="EEF2FF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Что указать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Видеонаблюдение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Зоны обзора: выдача, примерочные (вход), склад; срок хранения записей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Сверки и инвентаризация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Как часто сверять остатки ячеек с программой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Штрафы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Частые причины в вашем пункте и как их избегать</w:t>
            </w:r>
          </w:p>
        </w:tc>
      </w:tr>
      <w:tr>
        <w:tc>
          <w:tcPr>
            <w:tcW w:w="300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Контакты</w:t>
            </w:r>
          </w:p>
        </w:tc>
        <w:tc>
          <w:tcPr>
            <w:tcW w:w="3400" w:type="dxa"/>
          </w:tcPr>
          <w:p>
            <w:pPr>
              <w:spacing w:before="0" w:after="40"/>
            </w:pPr>
          </w:p>
        </w:tc>
        <w:tc>
          <w:tcPr>
            <w:tcW w:w="32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color w:val="64748B"/>
                <w:sz w:val="18"/>
                <w:szCs w:val="18"/>
              </w:rPr>
              <w:t xml:space="preserve">Менеджер маркетплейса, владелец, техподдержка</w:t>
            </w:r>
          </w:p>
        </w:tc>
      </w:tr>
    </w:tbl>
    <w:p>
      <w:pPr>
        <w:spacing w:before="240" w:after="40"/>
      </w:pPr>
      <w:r>
        <w:rPr>
          <w:rFonts w:ascii="Arial" w:hAnsi="Arial" w:cs="Arial"/>
          <w:color w:val="64748B"/>
          <w:sz w:val="18"/>
          <w:szCs w:val="18"/>
        </w:rPr>
        <w:t xml:space="preserve">Пояснения к разделам: https://latax.ru/articles/kak-otkryt-pvz-pomeshchenie-i-okupaemost</w:t>
      </w:r>
    </w:p>
    <w:p>
      <w:pPr>
        <w:spacing w:before="0" w:after="0"/>
      </w:pPr>
      <w:r>
        <w:rPr>
          <w:rFonts w:ascii="Arial" w:hAnsi="Arial" w:cs="Arial"/>
          <w:color w:val="64748B"/>
          <w:sz w:val="18"/>
          <w:szCs w:val="18"/>
        </w:rPr>
        <w:t xml:space="preserve">Цифры для заполнения — вместимость, нагрузки, грузопоток, сети, персонал — можно получить в бесплатном планировщике Latax: https://latax.ru/app/</w:t>
      </w:r>
    </w:p>
    <w:sectPr>
      <w:pgSz w:w="11906" w:h="16838"/>
      <w:pgMar w:top="1134" w:right="1134" w:bottom="1134" w:left="1134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работы пункта выдачи заказов</dc:title>
  <dc:creator>Latax (latax.ru)</dc:creator>
  <dc:language>ru-RU</dc:language>
</cp:coreProperties>
</file>